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rap="none" w:vAnchor="page" w:hAnchor="page" w:x="5723" w:y="1962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N° 894</w:t>
      </w:r>
    </w:p>
    <w:p>
      <w:pPr>
        <w:pStyle w:val="Style5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213" w:line="240" w:lineRule="exact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LENÍN MORENO GARCÉS</w:t>
      </w:r>
    </w:p>
    <w:p>
      <w:pPr>
        <w:pStyle w:val="Style7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483" w:line="220" w:lineRule="exact"/>
        <w:ind w:left="0" w:right="29" w:firstLine="0"/>
      </w:pPr>
      <w:bookmarkStart w:id="0" w:name="bookmark0"/>
      <w:r>
        <w:rPr>
          <w:lang w:val="es-ES" w:eastAsia="es-ES" w:bidi="es-ES"/>
          <w:w w:val="100"/>
          <w:spacing w:val="0"/>
          <w:color w:val="000000"/>
          <w:position w:val="0"/>
        </w:rPr>
        <w:t>PRESIDENTE CONSTITUCIONAL DE LA REPÚBLICA</w:t>
      </w:r>
      <w:bookmarkEnd w:id="0"/>
    </w:p>
    <w:p>
      <w:pPr>
        <w:pStyle w:val="Style9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213" w:line="220" w:lineRule="exact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CONSIDERANDO: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el artículo 313 de la Constitución de la República del Fxuador prevé que el Estado se</w:t>
        <w:br/>
        <w:t>reserva el derecho de administrar, regular, controlar y gestionar los sectores estratégicos,</w:t>
        <w:br/>
        <w:t>considerando entre estos a la energía en todas sus formas, las telecomunicaciones, los</w:t>
        <w:br/>
        <w:t>recursos naturales no renovables, el transporte y la refinación de hidrocarburos, la</w:t>
        <w:br/>
        <w:t>biodiversidad y el patrimonio genético, el espectro radioeléctrico, el agua, y los demás que</w:t>
        <w:br/>
        <w:t>determine la ley;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244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el artículo 6 de la Ley de Hidrocarburos establece que corresponde a la Función Ejecutiva</w:t>
        <w:br/>
        <w:t>la formulación de la política de hidrocarburos. Para el desarrollo de dicha política, su</w:t>
        <w:br/>
        <w:t>ejecución y la aplicación de esta Ley, el Estado obrará a través del Ministerio rector;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236" w:line="259" w:lineRule="exact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el artículo 9 de la Ley ibídem establece que el Ministro Sectorial es el encargado de</w:t>
        <w:br/>
        <w:t>formular la política de hidrocarburos aprobados por el Presidente de la República, así como</w:t>
        <w:br/>
        <w:t>de la aplicación de la presente Ley;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de conformidad con el artículo 72 de la Ley de Hidrocarburos, los precios de venta al</w:t>
        <w:br/>
        <w:t>consumidor de los derivados de los hidrocarburos serán regulados de acuerdo al Reglamento</w:t>
        <w:br/>
        <w:t>que para el efecto dictará el Presidente de la República;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mediante Decreto Ejecutivo No. 338, publicado en el Registro Oficial No. 73 de 2 de</w:t>
        <w:br/>
        <w:t>agosto de 2005, se expidió el Reglamento Sustitutivo para la Regulación de los Precios de los</w:t>
        <w:br/>
        <w:t>Derivados de Hidrocarburos;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mediante Decreto Ejecutivo No. 883. publicado en el Suplemento al Registro Oficial No</w:t>
        <w:br/>
        <w:t>52 de 2 de octubre del 2019, se reformó el Reglamento Sustitutivo para la Regulación de los</w:t>
        <w:br/>
        <w:t>Precios de los Derivados de los Hidrocarburos expedido mediante Decreto Ejecutivo Nro.</w:t>
        <w:br/>
        <w:t>338, publicado en el Registro Oficial Nro. 73 de 02 de agosto de 2005;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244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mediante oficio No. MERNNR-MERNNR-2019-0961-OF de 14 de octubre del 2019, el</w:t>
        <w:br/>
        <w:t>Ministerio de Energía y Recursos Naturales No Renovables remite a la Presidencia de la</w:t>
        <w:br/>
        <w:t>República y al Ministerio de Economía y Finanzas, las justificaciones técnicas para dejar sin</w:t>
        <w:br/>
        <w:t>efecto el Decreto Ejecutivo No. 883, publicado en el Suplemento al Registro Oficial No 52</w:t>
        <w:br/>
        <w:t>de 2 de octubre del 2019;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240" w:line="259" w:lineRule="exact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mediante oficio No. MEF-VGF-2019-010-OF de 14 de octubre del 2019, el Ministerio</w:t>
        <w:br/>
        <w:t>de Economía y Finanzas emite dictamen favorable, de conformidad con el artículo 74</w:t>
        <w:br/>
        <w:t>numeral 15 del Código Orgánico de Planificación y Finanzas Públicas; y,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0" w:line="259" w:lineRule="exact"/>
        <w:ind w:left="0" w:right="29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Que es necesario buscar la concordia y la paz social, a fin de encontrar una reconciliación</w:t>
      </w:r>
    </w:p>
    <w:p>
      <w:pPr>
        <w:pStyle w:val="Style11"/>
        <w:framePr w:w="8501" w:h="12629" w:hRule="exact" w:wrap="none" w:vAnchor="page" w:hAnchor="page" w:x="1595" w:y="2553"/>
        <w:widowControl w:val="0"/>
        <w:keepNext w:val="0"/>
        <w:keepLines w:val="0"/>
        <w:shd w:val="clear" w:color="auto" w:fill="auto"/>
        <w:bidi w:val="0"/>
        <w:spacing w:before="0" w:after="0" w:line="259" w:lineRule="exact"/>
        <w:ind w:left="0" w:right="33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social y evitar la confrontación entre ecuatorianos, para lo cual, en cumplimiento del acuerdo</w:t>
        <w:br/>
        <w:t>anunciado al país por el señor Presidente Constitucional de la República del Ecuador y las y</w:t>
      </w:r>
    </w:p>
    <w:p>
      <w:pPr>
        <w:framePr w:wrap="none" w:vAnchor="page" w:hAnchor="page" w:x="10062" w:y="14826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9pt;height:31pt;">
            <v:imagedata r:id="rId5" r:href="rId6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rap="none" w:vAnchor="page" w:hAnchor="page" w:x="5723" w:y="1962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N° 894</w:t>
      </w:r>
    </w:p>
    <w:p>
      <w:pPr>
        <w:pStyle w:val="Style5"/>
        <w:framePr w:w="8510" w:h="802" w:hRule="exact" w:wrap="none" w:vAnchor="page" w:hAnchor="page" w:x="1590" w:y="2534"/>
        <w:widowControl w:val="0"/>
        <w:keepNext w:val="0"/>
        <w:keepLines w:val="0"/>
        <w:shd w:val="clear" w:color="auto" w:fill="auto"/>
        <w:bidi w:val="0"/>
        <w:spacing w:before="0" w:after="213" w:line="240" w:lineRule="exact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LENÍN MORENO GARCÉS</w:t>
      </w:r>
    </w:p>
    <w:p>
      <w:pPr>
        <w:pStyle w:val="Style7"/>
        <w:framePr w:w="8510" w:h="802" w:hRule="exact" w:wrap="none" w:vAnchor="page" w:hAnchor="page" w:x="1590" w:y="2534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bookmarkStart w:id="1" w:name="bookmark1"/>
      <w:r>
        <w:rPr>
          <w:lang w:val="es-ES" w:eastAsia="es-ES" w:bidi="es-ES"/>
          <w:w w:val="100"/>
          <w:spacing w:val="0"/>
          <w:color w:val="000000"/>
          <w:position w:val="0"/>
        </w:rPr>
        <w:t>PRESIDENTE CONSTITUCIONAL DE LA REPÚBLICA</w:t>
      </w:r>
      <w:bookmarkEnd w:id="1"/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44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los dirigentes de las organizaciones CON AIR, PEINE Y FENOC1N participantes del diálogo convocado por el Gobierno Nacional, se debe reformar el Reglamento Sustitutivo para la Regulación de los Precios de los Derivados de Hidrocarburos, a fin de salvaguardar los intereses del Estado y de esta manera precautelar el buen uso de los mismos a efecto de evitar el contrabando de combustibles.</w:t>
      </w:r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71" w:line="259" w:lineRule="exact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En ejercicio de la facultad conferida por el numeral 13 del artículo 147 de la Constitución de la República del Ecuador, en concordancia con los artículos 129 del Código Orgánico Administrativo y 72 de la Ley de Hidrocarburos,</w:t>
      </w:r>
    </w:p>
    <w:p>
      <w:pPr>
        <w:pStyle w:val="Style13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14" w:line="220" w:lineRule="exact"/>
        <w:ind w:left="0" w:right="0" w:firstLine="0"/>
      </w:pPr>
      <w:bookmarkStart w:id="2" w:name="bookmark2"/>
      <w:r>
        <w:rPr>
          <w:lang w:val="es-ES" w:eastAsia="es-ES" w:bidi="es-ES"/>
          <w:w w:val="100"/>
          <w:spacing w:val="0"/>
          <w:color w:val="000000"/>
          <w:position w:val="0"/>
        </w:rPr>
        <w:t>DECRETA:</w:t>
      </w:r>
      <w:bookmarkEnd w:id="2"/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48" w:line="269" w:lineRule="exact"/>
        <w:ind w:left="0" w:right="0" w:firstLine="0"/>
      </w:pPr>
      <w:r>
        <w:rPr>
          <w:rStyle w:val="CharStyle15"/>
        </w:rPr>
        <w:t xml:space="preserve">Artículo 1.- </w:t>
      </w:r>
      <w:r>
        <w:rPr>
          <w:lang w:val="es-ES" w:eastAsia="es-ES" w:bidi="es-ES"/>
          <w:w w:val="100"/>
          <w:spacing w:val="0"/>
          <w:color w:val="000000"/>
          <w:position w:val="0"/>
        </w:rPr>
        <w:t>Déjese sin efecto el Decreto Ejecutivo número 883 de I de octubre del 2019, publicado en el Suplemento al Registro Oficial número 52 de 2 de octubre del 2019.</w:t>
      </w:r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40" w:line="259" w:lineRule="exact"/>
        <w:ind w:left="0" w:right="0" w:firstLine="0"/>
      </w:pPr>
      <w:r>
        <w:rPr>
          <w:rStyle w:val="CharStyle15"/>
        </w:rPr>
        <w:t xml:space="preserve">Artículo </w:t>
      </w:r>
      <w:r>
        <w:rPr>
          <w:rStyle w:val="CharStyle16"/>
        </w:rPr>
        <w:t>2</w:t>
      </w:r>
      <w:r>
        <w:rPr>
          <w:rStyle w:val="CharStyle17"/>
        </w:rPr>
        <w:t>-</w:t>
      </w:r>
      <w:r>
        <w:rPr>
          <w:lang w:val="es-ES" w:eastAsia="es-ES" w:bidi="es-ES"/>
          <w:w w:val="100"/>
          <w:spacing w:val="0"/>
          <w:color w:val="000000"/>
          <w:position w:val="0"/>
        </w:rPr>
        <w:t xml:space="preserve"> Procédase, de manera inmediata, a la elaboración de un nuevo decreto ejecutivo que permita una política de subsidios de combustibles, con un enfoque integral, con criterios de racionalización, focalización y sectorialización, que precautele que éstos no se destinen al beneficio de personas de mayores recursos económicos, ni a contrabandistas de combustibles.</w:t>
      </w:r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44" w:line="259" w:lineRule="exact"/>
        <w:ind w:left="0" w:right="0" w:firstLine="0"/>
      </w:pPr>
      <w:r>
        <w:rPr>
          <w:rStyle w:val="CharStyle15"/>
        </w:rPr>
        <w:t xml:space="preserve">DISPOSICIÓN TRANSITORIA.- </w:t>
      </w:r>
      <w:r>
        <w:rPr>
          <w:lang w:val="es-ES" w:eastAsia="es-ES" w:bidi="es-ES"/>
          <w:w w:val="100"/>
          <w:spacing w:val="0"/>
          <w:color w:val="000000"/>
          <w:position w:val="0"/>
        </w:rPr>
        <w:t>Hasta que se expida el nuevo decreto ejecutivo, se vuelve a los precios establecidos antes de la vigencia del Decreto Ejecutivo 883 de 1 de octubre de 2019. Los precios en las estaciones de servicio se ¡mplcmentarán desde el día martes 15 de octubre de 2019, a las OOhOO.</w:t>
      </w:r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232" w:line="254" w:lineRule="exact"/>
        <w:ind w:left="0" w:right="0" w:firstLine="0"/>
      </w:pPr>
      <w:r>
        <w:rPr>
          <w:rStyle w:val="CharStyle15"/>
        </w:rPr>
        <w:t xml:space="preserve">DISPOSICIÓN DEROGATORIA.- </w:t>
      </w:r>
      <w:r>
        <w:rPr>
          <w:lang w:val="es-ES" w:eastAsia="es-ES" w:bidi="es-ES"/>
          <w:w w:val="100"/>
          <w:spacing w:val="0"/>
          <w:color w:val="000000"/>
          <w:position w:val="0"/>
        </w:rPr>
        <w:t>Derogúese las disposiciones de igual o menor jerarquía que se opongan al presente Decreto Ejecutivo.</w:t>
      </w:r>
    </w:p>
    <w:p>
      <w:pPr>
        <w:pStyle w:val="Style11"/>
        <w:framePr w:w="8510" w:h="8477" w:hRule="exact" w:wrap="none" w:vAnchor="page" w:hAnchor="page" w:x="1590" w:y="373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5"/>
        </w:rPr>
        <w:t xml:space="preserve">DISPOSICIÓN FINAL.- </w:t>
      </w:r>
      <w:r>
        <w:rPr>
          <w:lang w:val="es-ES" w:eastAsia="es-ES" w:bidi="es-ES"/>
          <w:w w:val="100"/>
          <w:spacing w:val="0"/>
          <w:color w:val="000000"/>
          <w:position w:val="0"/>
        </w:rPr>
        <w:t>El presente Decreto Ejecutivo, entrará en vigencia a partir de su publicación en el Registro Oficial y de su ejecución cncárguense los Ministerios de Economía y Finanzas; y, de Energía y Recursos Naturales No Renovables; la Empresa Pública EP PETROECUADOR; y, la Agencia de Regulación y Control Hidrocarburífera.</w:t>
      </w:r>
    </w:p>
    <w:p>
      <w:pPr>
        <w:pStyle w:val="Style18"/>
        <w:framePr w:w="8510" w:h="253" w:hRule="exact" w:wrap="none" w:vAnchor="page" w:hAnchor="page" w:x="1590" w:y="1250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Dado en Guayaquil, a 14 de octubre de 2019.</w:t>
      </w:r>
    </w:p>
    <w:p>
      <w:pPr>
        <w:framePr w:wrap="none" w:vAnchor="page" w:hAnchor="page" w:x="2963" w:y="12791"/>
        <w:widowControl w:val="0"/>
        <w:rPr>
          <w:sz w:val="2"/>
          <w:szCs w:val="2"/>
        </w:rPr>
      </w:pPr>
      <w:r>
        <w:pict>
          <v:shape id="_x0000_s1027" type="#_x0000_t75" style="width:288pt;height:97pt;">
            <v:imagedata r:id="rId7" r:href="rId8"/>
          </v:shape>
        </w:pict>
      </w:r>
    </w:p>
    <w:p>
      <w:pPr>
        <w:pStyle w:val="Style3"/>
        <w:framePr w:wrap="none" w:vAnchor="page" w:hAnchor="page" w:x="9942" w:y="15395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es-ES" w:eastAsia="es-ES" w:bidi="es-ES"/>
          <w:w w:val="100"/>
          <w:spacing w:val="0"/>
          <w:color w:val="000000"/>
          <w:position w:val="0"/>
        </w:rPr>
        <w:t>2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2240" w:h="15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es-ES" w:eastAsia="es-ES" w:bidi="es-E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s-ES" w:eastAsia="es-ES" w:bidi="es-E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s-ES" w:eastAsia="es-ES" w:bidi="es-E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Encabezamiento o pie de página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19"/>
      <w:szCs w:val="19"/>
      <w:rFonts w:ascii="Tahoma" w:eastAsia="Tahoma" w:hAnsi="Tahoma" w:cs="Tahoma"/>
    </w:rPr>
  </w:style>
  <w:style w:type="character" w:customStyle="1" w:styleId="CharStyle6">
    <w:name w:val="Cuerpo del texto (3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Heavy" w:eastAsia="Franklin Gothic Heavy" w:hAnsi="Franklin Gothic Heavy" w:cs="Franklin Gothic Heavy"/>
    </w:rPr>
  </w:style>
  <w:style w:type="character" w:customStyle="1" w:styleId="CharStyle8">
    <w:name w:val="Título #1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2"/>
      <w:szCs w:val="22"/>
      <w:rFonts w:ascii="Franklin Gothic Heavy" w:eastAsia="Franklin Gothic Heavy" w:hAnsi="Franklin Gothic Heavy" w:cs="Franklin Gothic Heavy"/>
    </w:rPr>
  </w:style>
  <w:style w:type="character" w:customStyle="1" w:styleId="CharStyle10">
    <w:name w:val="Cuerpo del texto (4)_"/>
    <w:basedOn w:val="DefaultParagraphFont"/>
    <w:link w:val="Style9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2">
    <w:name w:val="Cuerpo del texto (2)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4">
    <w:name w:val="Título #1 (2)_"/>
    <w:basedOn w:val="DefaultParagraphFont"/>
    <w:link w:val="Style13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5">
    <w:name w:val="Cuerpo del texto (2) + Negrita"/>
    <w:basedOn w:val="CharStyle12"/>
    <w:rPr>
      <w:lang w:val="es-ES" w:eastAsia="es-ES" w:bidi="es-ES"/>
      <w:b/>
      <w:bCs/>
      <w:w w:val="100"/>
      <w:spacing w:val="0"/>
      <w:color w:val="000000"/>
      <w:position w:val="0"/>
    </w:rPr>
  </w:style>
  <w:style w:type="character" w:customStyle="1" w:styleId="CharStyle16">
    <w:name w:val="Cuerpo del texto (2) + 12 pto,Cursiva"/>
    <w:basedOn w:val="CharStyle12"/>
    <w:rPr>
      <w:lang w:val="es-ES" w:eastAsia="es-ES" w:bidi="es-ES"/>
      <w:i/>
      <w:iCs/>
      <w:sz w:val="24"/>
      <w:szCs w:val="24"/>
      <w:w w:val="100"/>
      <w:spacing w:val="0"/>
      <w:color w:val="000000"/>
      <w:position w:val="0"/>
    </w:rPr>
  </w:style>
  <w:style w:type="character" w:customStyle="1" w:styleId="CharStyle17">
    <w:name w:val="Cuerpo del texto (2) + 4 pto,Cursiva"/>
    <w:basedOn w:val="CharStyle12"/>
    <w:rPr>
      <w:lang w:val="es-ES" w:eastAsia="es-ES" w:bidi="es-ES"/>
      <w:i/>
      <w:iCs/>
      <w:sz w:val="8"/>
      <w:szCs w:val="8"/>
      <w:w w:val="100"/>
      <w:spacing w:val="0"/>
      <w:color w:val="000000"/>
      <w:position w:val="0"/>
    </w:rPr>
  </w:style>
  <w:style w:type="character" w:customStyle="1" w:styleId="CharStyle19">
    <w:name w:val="Leyenda de la imagen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3">
    <w:name w:val="Encabezamiento o pie de página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ahoma" w:eastAsia="Tahoma" w:hAnsi="Tahoma" w:cs="Tahoma"/>
    </w:rPr>
  </w:style>
  <w:style w:type="paragraph" w:customStyle="1" w:styleId="Style5">
    <w:name w:val="Cuerpo del texto (3)"/>
    <w:basedOn w:val="Normal"/>
    <w:link w:val="CharStyle6"/>
    <w:pPr>
      <w:widowControl w:val="0"/>
      <w:shd w:val="clear" w:color="auto" w:fill="FFFFFF"/>
      <w:jc w:val="center"/>
      <w:spacing w:after="240"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Heavy" w:eastAsia="Franklin Gothic Heavy" w:hAnsi="Franklin Gothic Heavy" w:cs="Franklin Gothic Heavy"/>
    </w:rPr>
  </w:style>
  <w:style w:type="paragraph" w:customStyle="1" w:styleId="Style7">
    <w:name w:val="Título #1"/>
    <w:basedOn w:val="Normal"/>
    <w:link w:val="CharStyle8"/>
    <w:pPr>
      <w:widowControl w:val="0"/>
      <w:shd w:val="clear" w:color="auto" w:fill="FFFFFF"/>
      <w:jc w:val="center"/>
      <w:outlineLvl w:val="0"/>
      <w:spacing w:before="240" w:after="540"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Franklin Gothic Heavy" w:eastAsia="Franklin Gothic Heavy" w:hAnsi="Franklin Gothic Heavy" w:cs="Franklin Gothic Heavy"/>
    </w:rPr>
  </w:style>
  <w:style w:type="paragraph" w:customStyle="1" w:styleId="Style9">
    <w:name w:val="Cuerpo del texto (4)"/>
    <w:basedOn w:val="Normal"/>
    <w:link w:val="CharStyle10"/>
    <w:pPr>
      <w:widowControl w:val="0"/>
      <w:shd w:val="clear" w:color="auto" w:fill="FFFFFF"/>
      <w:jc w:val="center"/>
      <w:spacing w:before="540" w:after="300"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1">
    <w:name w:val="Cuerpo del texto (2)"/>
    <w:basedOn w:val="Normal"/>
    <w:link w:val="CharStyle12"/>
    <w:pPr>
      <w:widowControl w:val="0"/>
      <w:shd w:val="clear" w:color="auto" w:fill="FFFFFF"/>
      <w:jc w:val="both"/>
      <w:spacing w:before="300" w:after="240" w:line="264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3">
    <w:name w:val="Título #1 (2)"/>
    <w:basedOn w:val="Normal"/>
    <w:link w:val="CharStyle14"/>
    <w:pPr>
      <w:widowControl w:val="0"/>
      <w:shd w:val="clear" w:color="auto" w:fill="FFFFFF"/>
      <w:jc w:val="center"/>
      <w:outlineLvl w:val="0"/>
      <w:spacing w:before="240" w:after="300"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8">
    <w:name w:val="Leyenda de la imagen"/>
    <w:basedOn w:val="Normal"/>
    <w:link w:val="CharStyle1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